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932DE">
      <w:pPr>
        <w:keepNext w:val="0"/>
        <w:keepLines w:val="0"/>
        <w:pageBreakBefore w:val="0"/>
        <w:widowControl/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153" w:line="560" w:lineRule="exact"/>
        <w:ind w:left="2696" w:right="853" w:hanging="2420"/>
        <w:jc w:val="center"/>
        <w:textAlignment w:val="baseline"/>
        <w:rPr>
          <w:rFonts w:hint="eastAsia" w:ascii="黑体" w:hAnsi="黑体" w:eastAsia="黑体" w:cs="黑体"/>
          <w:b/>
          <w:bCs/>
          <w:spacing w:val="-21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21"/>
          <w:sz w:val="36"/>
          <w:szCs w:val="36"/>
          <w:lang w:val="en-US" w:eastAsia="zh-CN"/>
        </w:rPr>
        <w:t>东南大学集成电路学院研究生2025年海宸奖学金</w:t>
      </w:r>
    </w:p>
    <w:p w14:paraId="66432827">
      <w:pPr>
        <w:keepNext w:val="0"/>
        <w:keepLines w:val="0"/>
        <w:pageBreakBefore w:val="0"/>
        <w:widowControl/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153" w:line="560" w:lineRule="exact"/>
        <w:ind w:left="2696" w:right="853" w:hanging="2420"/>
        <w:jc w:val="center"/>
        <w:textAlignment w:val="baseline"/>
        <w:rPr>
          <w:rFonts w:hint="eastAsia" w:ascii="黑体" w:hAnsi="黑体" w:eastAsia="黑体" w:cs="黑体"/>
          <w:b/>
          <w:bCs/>
          <w:spacing w:val="-21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21"/>
          <w:sz w:val="36"/>
          <w:szCs w:val="36"/>
          <w:lang w:val="en-US" w:eastAsia="zh-CN"/>
        </w:rPr>
        <w:t>评审细则</w:t>
      </w:r>
    </w:p>
    <w:p w14:paraId="10B83A1C">
      <w:pPr>
        <w:keepNext w:val="0"/>
        <w:keepLines w:val="0"/>
        <w:pageBreakBefore w:val="0"/>
        <w:widowControl/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ind w:left="64"/>
        <w:textAlignment w:val="baseline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一、评选组织</w:t>
      </w:r>
    </w:p>
    <w:p w14:paraId="03A05A08">
      <w:pPr>
        <w:pStyle w:val="2"/>
        <w:keepNext w:val="0"/>
        <w:keepLines w:val="0"/>
        <w:pageBreakBefore w:val="0"/>
        <w:widowControl/>
        <w:tabs>
          <w:tab w:val="left" w:pos="190"/>
        </w:tabs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92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7"/>
        </w:rPr>
      </w:pPr>
      <w:r>
        <w:rPr>
          <w:rFonts w:hint="eastAsia" w:ascii="方正仿宋_GB2312" w:hAnsi="方正仿宋_GB2312" w:eastAsia="方正仿宋_GB2312" w:cs="方正仿宋_GB2312"/>
          <w:spacing w:val="22"/>
        </w:rPr>
        <w:t>成立</w:t>
      </w:r>
      <w:r>
        <w:rPr>
          <w:rFonts w:hint="eastAsia" w:ascii="方正仿宋_GB2312" w:hAnsi="方正仿宋_GB2312" w:eastAsia="方正仿宋_GB2312" w:cs="方正仿宋_GB2312"/>
          <w:spacing w:val="22"/>
          <w:lang w:val="en-US" w:eastAsia="zh-CN"/>
        </w:rPr>
        <w:t>海宸奖学金</w:t>
      </w:r>
      <w:r>
        <w:rPr>
          <w:rFonts w:hint="eastAsia" w:ascii="方正仿宋_GB2312" w:hAnsi="方正仿宋_GB2312" w:eastAsia="方正仿宋_GB2312" w:cs="方正仿宋_GB2312"/>
          <w:spacing w:val="22"/>
        </w:rPr>
        <w:t>评审委员会</w:t>
      </w:r>
      <w:r>
        <w:rPr>
          <w:rFonts w:hint="eastAsia" w:ascii="方正仿宋_GB2312" w:hAnsi="方正仿宋_GB2312" w:eastAsia="方正仿宋_GB2312" w:cs="方正仿宋_GB2312"/>
          <w:spacing w:val="2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11"/>
        </w:rPr>
        <w:t>以下简称委员会</w:t>
      </w:r>
      <w:r>
        <w:rPr>
          <w:rFonts w:hint="eastAsia" w:ascii="方正仿宋_GB2312" w:hAnsi="方正仿宋_GB2312" w:eastAsia="方正仿宋_GB2312" w:cs="方正仿宋_GB2312"/>
          <w:spacing w:val="11"/>
          <w:lang w:eastAsia="zh-CN"/>
        </w:rPr>
        <w:t>），</w:t>
      </w:r>
      <w:r>
        <w:rPr>
          <w:rFonts w:hint="eastAsia" w:ascii="方正仿宋_GB2312" w:hAnsi="方正仿宋_GB2312" w:eastAsia="方正仿宋_GB2312" w:cs="方正仿宋_GB2312"/>
          <w:spacing w:val="11"/>
        </w:rPr>
        <w:t>负责制定细则并组织评审</w:t>
      </w:r>
      <w:r>
        <w:rPr>
          <w:rFonts w:hint="eastAsia" w:ascii="方正仿宋_GB2312" w:hAnsi="方正仿宋_GB2312" w:eastAsia="方正仿宋_GB2312" w:cs="方正仿宋_GB2312"/>
          <w:spacing w:val="11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9"/>
          <w:lang w:val="en-US" w:eastAsia="zh-CN"/>
        </w:rPr>
        <w:t>成立集成电路学院海宸奖学金评审秘书</w:t>
      </w:r>
      <w:r>
        <w:rPr>
          <w:rFonts w:hint="eastAsia" w:ascii="方正仿宋_GB2312" w:hAnsi="方正仿宋_GB2312" w:eastAsia="方正仿宋_GB2312" w:cs="方正仿宋_GB2312"/>
          <w:spacing w:val="9"/>
        </w:rPr>
        <w:t>委员会</w:t>
      </w:r>
      <w:r>
        <w:rPr>
          <w:rFonts w:hint="eastAsia" w:ascii="方正仿宋_GB2312" w:hAnsi="方正仿宋_GB2312" w:eastAsia="方正仿宋_GB2312" w:cs="方正仿宋_GB2312"/>
          <w:spacing w:val="7"/>
        </w:rPr>
        <w:t>。</w:t>
      </w:r>
    </w:p>
    <w:p w14:paraId="71AFE346">
      <w:pPr>
        <w:keepNext w:val="0"/>
        <w:keepLines w:val="0"/>
        <w:pageBreakBefore w:val="0"/>
        <w:widowControl/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58" w:line="560" w:lineRule="exact"/>
        <w:ind w:left="4"/>
        <w:textAlignment w:val="baseline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二、奖励对象和申请条件</w:t>
      </w:r>
    </w:p>
    <w:p w14:paraId="4FBEC89C">
      <w:pPr>
        <w:keepNext w:val="0"/>
        <w:keepLines w:val="0"/>
        <w:pageBreakBefore w:val="0"/>
        <w:widowControl/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263" w:line="560" w:lineRule="exact"/>
        <w:ind w:left="4"/>
        <w:textAlignment w:val="baseline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b/>
          <w:bCs/>
          <w:spacing w:val="14"/>
          <w:sz w:val="31"/>
          <w:szCs w:val="31"/>
          <w:lang w:eastAsia="zh-CN"/>
        </w:rPr>
        <w:t>（一）</w:t>
      </w:r>
      <w:r>
        <w:rPr>
          <w:rFonts w:ascii="楷体" w:hAnsi="楷体" w:eastAsia="楷体" w:cs="楷体"/>
          <w:b/>
          <w:bCs/>
          <w:spacing w:val="14"/>
          <w:sz w:val="31"/>
          <w:szCs w:val="31"/>
        </w:rPr>
        <w:t>奖励对象</w:t>
      </w:r>
    </w:p>
    <w:p w14:paraId="08560F5C">
      <w:pPr>
        <w:pStyle w:val="2"/>
        <w:keepNext w:val="0"/>
        <w:keepLines w:val="0"/>
        <w:pageBreakBefore w:val="0"/>
        <w:widowControl/>
        <w:tabs>
          <w:tab w:val="left" w:pos="190"/>
        </w:tabs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92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22"/>
        </w:rPr>
      </w:pPr>
      <w:r>
        <w:rPr>
          <w:rFonts w:hint="eastAsia" w:ascii="方正仿宋_GB2312" w:hAnsi="方正仿宋_GB2312" w:eastAsia="方正仿宋_GB2312" w:cs="方正仿宋_GB2312"/>
          <w:spacing w:val="22"/>
        </w:rPr>
        <w:t>凡在培养计划规定学制内正式取得学籍、完成注册并符合下列申请条件的全日制非定向就业的</w:t>
      </w:r>
      <w:r>
        <w:rPr>
          <w:rFonts w:hint="eastAsia" w:ascii="方正仿宋_GB2312" w:hAnsi="方正仿宋_GB2312" w:eastAsia="方正仿宋_GB2312" w:cs="方正仿宋_GB2312"/>
          <w:spacing w:val="22"/>
          <w:lang w:val="en-US" w:eastAsia="zh-CN"/>
        </w:rPr>
        <w:t>二年级硕士研究生</w:t>
      </w:r>
      <w:r>
        <w:rPr>
          <w:rFonts w:hint="eastAsia" w:ascii="方正仿宋_GB2312" w:hAnsi="方正仿宋_GB2312" w:eastAsia="方正仿宋_GB2312" w:cs="方正仿宋_GB2312"/>
          <w:spacing w:val="22"/>
        </w:rPr>
        <w:t>，不含休学期间的研究生。</w:t>
      </w:r>
    </w:p>
    <w:p w14:paraId="2B622DBD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263" w:line="560" w:lineRule="exact"/>
        <w:ind w:left="4"/>
        <w:textAlignment w:val="baseline"/>
        <w:outlineLvl w:val="2"/>
        <w:rPr>
          <w:rFonts w:ascii="楷体" w:hAnsi="楷体" w:eastAsia="楷体" w:cs="楷体"/>
          <w:b/>
          <w:bCs/>
          <w:spacing w:val="14"/>
          <w:sz w:val="31"/>
          <w:szCs w:val="31"/>
        </w:rPr>
      </w:pPr>
      <w:r>
        <w:rPr>
          <w:rFonts w:ascii="楷体" w:hAnsi="楷体" w:eastAsia="楷体" w:cs="楷体"/>
          <w:b/>
          <w:bCs/>
          <w:spacing w:val="14"/>
          <w:sz w:val="31"/>
          <w:szCs w:val="31"/>
        </w:rPr>
        <w:t>申请条件</w:t>
      </w:r>
      <w:bookmarkStart w:id="0" w:name="_GoBack"/>
      <w:bookmarkEnd w:id="0"/>
    </w:p>
    <w:p w14:paraId="733A7654">
      <w:pPr>
        <w:pStyle w:val="2"/>
        <w:keepNext w:val="0"/>
        <w:keepLines w:val="0"/>
        <w:pageBreakBefore w:val="0"/>
        <w:widowControl/>
        <w:tabs>
          <w:tab w:val="left" w:pos="190"/>
        </w:tabs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92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1"/>
          <w:lang w:val="en-US" w:eastAsia="en-US"/>
        </w:rPr>
      </w:pPr>
      <w:r>
        <w:rPr>
          <w:rFonts w:hint="eastAsia" w:ascii="方正仿宋_GB2312" w:hAnsi="方正仿宋_GB2312" w:eastAsia="方正仿宋_GB2312" w:cs="方正仿宋_GB2312"/>
          <w:spacing w:val="11"/>
          <w:lang w:val="en-US" w:eastAsia="en-US"/>
        </w:rPr>
        <w:t>1.热爱祖国，热爱人民；</w:t>
      </w:r>
    </w:p>
    <w:p w14:paraId="76EF6E43">
      <w:pPr>
        <w:pStyle w:val="2"/>
        <w:keepNext w:val="0"/>
        <w:keepLines w:val="0"/>
        <w:pageBreakBefore w:val="0"/>
        <w:widowControl/>
        <w:tabs>
          <w:tab w:val="left" w:pos="190"/>
        </w:tabs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92"/>
        <w:jc w:val="both"/>
        <w:textAlignment w:val="baseline"/>
        <w:rPr>
          <w:rFonts w:hint="default" w:ascii="方正仿宋_GB2312" w:hAnsi="方正仿宋_GB2312" w:eastAsia="方正仿宋_GB2312" w:cs="方正仿宋_GB2312"/>
          <w:spacing w:val="11"/>
          <w:lang w:val="en-US" w:eastAsia="en-US"/>
        </w:rPr>
      </w:pPr>
      <w:r>
        <w:rPr>
          <w:rFonts w:hint="eastAsia" w:ascii="方正仿宋_GB2312" w:hAnsi="方正仿宋_GB2312" w:eastAsia="方正仿宋_GB2312" w:cs="方正仿宋_GB2312"/>
          <w:spacing w:val="11"/>
          <w:lang w:val="en-US" w:eastAsia="en-US"/>
        </w:rPr>
        <w:t>2.遵纪守法，品行端正，诚实正直，在校期间未受过通报批评或其他处分；</w:t>
      </w:r>
    </w:p>
    <w:p w14:paraId="366D8349">
      <w:pPr>
        <w:pStyle w:val="2"/>
        <w:keepNext w:val="0"/>
        <w:keepLines w:val="0"/>
        <w:pageBreakBefore w:val="0"/>
        <w:widowControl/>
        <w:tabs>
          <w:tab w:val="left" w:pos="190"/>
        </w:tabs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92"/>
        <w:jc w:val="both"/>
        <w:textAlignment w:val="baseline"/>
        <w:rPr>
          <w:rFonts w:hint="default" w:ascii="方正仿宋_GB2312" w:hAnsi="方正仿宋_GB2312" w:eastAsia="方正仿宋_GB2312" w:cs="方正仿宋_GB2312"/>
          <w:spacing w:val="11"/>
          <w:lang w:val="en-US" w:eastAsia="en-US"/>
        </w:rPr>
      </w:pPr>
      <w:r>
        <w:rPr>
          <w:rFonts w:hint="eastAsia" w:ascii="方正仿宋_GB2312" w:hAnsi="方正仿宋_GB2312" w:eastAsia="方正仿宋_GB2312" w:cs="方正仿宋_GB2312"/>
          <w:spacing w:val="11"/>
          <w:lang w:val="en-US" w:eastAsia="en-US"/>
        </w:rPr>
        <w:t>3.关心集体、团结同学，有较强责任感；</w:t>
      </w:r>
    </w:p>
    <w:p w14:paraId="343D4655">
      <w:pPr>
        <w:pStyle w:val="2"/>
        <w:keepNext w:val="0"/>
        <w:keepLines w:val="0"/>
        <w:pageBreakBefore w:val="0"/>
        <w:widowControl/>
        <w:tabs>
          <w:tab w:val="left" w:pos="190"/>
        </w:tabs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92"/>
        <w:jc w:val="both"/>
        <w:textAlignment w:val="baseline"/>
        <w:rPr>
          <w:rFonts w:hint="default" w:ascii="方正仿宋_GB2312" w:hAnsi="方正仿宋_GB2312" w:eastAsia="方正仿宋_GB2312" w:cs="方正仿宋_GB2312"/>
          <w:spacing w:val="11"/>
          <w:lang w:val="en-US" w:eastAsia="en-US"/>
        </w:rPr>
      </w:pPr>
      <w:r>
        <w:rPr>
          <w:rFonts w:hint="eastAsia" w:ascii="方正仿宋_GB2312" w:hAnsi="方正仿宋_GB2312" w:eastAsia="方正仿宋_GB2312" w:cs="方正仿宋_GB2312"/>
          <w:spacing w:val="11"/>
          <w:lang w:val="en-US" w:eastAsia="en-US"/>
        </w:rPr>
        <w:t>4.学习刻苦认真，成绩优良，规格化成绩在专业前30%；</w:t>
      </w:r>
    </w:p>
    <w:p w14:paraId="6B6374B1">
      <w:pPr>
        <w:pStyle w:val="2"/>
        <w:keepNext w:val="0"/>
        <w:keepLines w:val="0"/>
        <w:pageBreakBefore w:val="0"/>
        <w:widowControl/>
        <w:tabs>
          <w:tab w:val="left" w:pos="190"/>
        </w:tabs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92"/>
        <w:jc w:val="both"/>
        <w:textAlignment w:val="baseline"/>
        <w:rPr>
          <w:rFonts w:hint="default" w:ascii="方正仿宋_GB2312" w:hAnsi="方正仿宋_GB2312" w:eastAsia="方正仿宋_GB2312" w:cs="方正仿宋_GB2312"/>
          <w:spacing w:val="11"/>
          <w:lang w:val="en-US" w:eastAsia="en-US"/>
        </w:rPr>
      </w:pPr>
      <w:r>
        <w:rPr>
          <w:rFonts w:hint="eastAsia" w:ascii="方正仿宋_GB2312" w:hAnsi="方正仿宋_GB2312" w:eastAsia="方正仿宋_GB2312" w:cs="方正仿宋_GB2312"/>
          <w:spacing w:val="11"/>
          <w:lang w:val="en-US" w:eastAsia="en-US"/>
        </w:rPr>
        <w:t>5.逻辑思维能力强，具备较强的统计分析能力</w:t>
      </w:r>
      <w:r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11"/>
          <w:lang w:val="en-US" w:eastAsia="en-US"/>
        </w:rPr>
        <w:t>有志于从事金融投资方向工作；</w:t>
      </w:r>
    </w:p>
    <w:p w14:paraId="5DED6D7F">
      <w:pPr>
        <w:pStyle w:val="2"/>
        <w:keepNext w:val="0"/>
        <w:keepLines w:val="0"/>
        <w:pageBreakBefore w:val="0"/>
        <w:widowControl/>
        <w:tabs>
          <w:tab w:val="left" w:pos="190"/>
        </w:tabs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92"/>
        <w:jc w:val="both"/>
        <w:textAlignment w:val="baseline"/>
        <w:rPr>
          <w:rFonts w:hint="default" w:ascii="方正仿宋_GB2312" w:hAnsi="方正仿宋_GB2312" w:eastAsia="方正仿宋_GB2312" w:cs="方正仿宋_GB2312"/>
          <w:spacing w:val="11"/>
          <w:lang w:val="en-US" w:eastAsia="en-US"/>
        </w:rPr>
      </w:pPr>
      <w:r>
        <w:rPr>
          <w:rFonts w:hint="eastAsia" w:ascii="方正仿宋_GB2312" w:hAnsi="方正仿宋_GB2312" w:eastAsia="方正仿宋_GB2312" w:cs="方正仿宋_GB2312"/>
          <w:spacing w:val="11"/>
          <w:lang w:val="en-US" w:eastAsia="en-US"/>
        </w:rPr>
        <w:t>6.在科学研究方面有突出表现优先；</w:t>
      </w:r>
    </w:p>
    <w:p w14:paraId="3E7A4B6E">
      <w:pPr>
        <w:pStyle w:val="2"/>
        <w:keepNext w:val="0"/>
        <w:keepLines w:val="0"/>
        <w:pageBreakBefore w:val="0"/>
        <w:widowControl/>
        <w:tabs>
          <w:tab w:val="left" w:pos="190"/>
        </w:tabs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92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1"/>
          <w:lang w:val="en-US" w:eastAsia="en-US"/>
        </w:rPr>
      </w:pPr>
      <w:r>
        <w:rPr>
          <w:rFonts w:hint="eastAsia" w:ascii="方正仿宋_GB2312" w:hAnsi="方正仿宋_GB2312" w:eastAsia="方正仿宋_GB2312" w:cs="方正仿宋_GB2312"/>
          <w:spacing w:val="11"/>
          <w:lang w:val="en-US" w:eastAsia="en-US"/>
        </w:rPr>
        <w:t>7.愿意前往海宸公司实习的申请者，在同等条件下优先获得奖学金，参与实习至少3个月以上实习</w:t>
      </w:r>
      <w:r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  <w:t>，线下至少3个月，其他可以结合线上。</w:t>
      </w:r>
      <w:r>
        <w:rPr>
          <w:rFonts w:hint="eastAsia" w:ascii="方正仿宋_GB2312" w:hAnsi="方正仿宋_GB2312" w:eastAsia="方正仿宋_GB2312" w:cs="方正仿宋_GB2312"/>
          <w:spacing w:val="11"/>
          <w:lang w:val="en-US" w:eastAsia="en-US"/>
        </w:rPr>
        <w:t>就业指导中心已发布上海海宸投资管理有限公司实习生招聘公告，请有意向参评奖学金的研究生参加实习招聘，公告详见推送：</w:t>
      </w:r>
      <w:r>
        <w:rPr>
          <w:rFonts w:hint="eastAsia" w:ascii="方正仿宋_GB2312" w:hAnsi="方正仿宋_GB2312" w:eastAsia="方正仿宋_GB2312" w:cs="方正仿宋_GB2312"/>
          <w:spacing w:val="11"/>
          <w:lang w:val="en-US" w:eastAsia="en-US"/>
        </w:rPr>
        <w:fldChar w:fldCharType="begin"/>
      </w:r>
      <w:r>
        <w:rPr>
          <w:rFonts w:hint="eastAsia" w:ascii="方正仿宋_GB2312" w:hAnsi="方正仿宋_GB2312" w:eastAsia="方正仿宋_GB2312" w:cs="方正仿宋_GB2312"/>
          <w:spacing w:val="11"/>
          <w:lang w:val="en-US" w:eastAsia="en-US"/>
        </w:rPr>
        <w:instrText xml:space="preserve"> HYPERLINK "https://mp.weixin.qq.com/s/UutDmvALwF-qECADQ6Wuiw" \t "https://oa.seu.edu.cn/spa/email/static/_blank" </w:instrText>
      </w:r>
      <w:r>
        <w:rPr>
          <w:rFonts w:hint="eastAsia" w:ascii="方正仿宋_GB2312" w:hAnsi="方正仿宋_GB2312" w:eastAsia="方正仿宋_GB2312" w:cs="方正仿宋_GB2312"/>
          <w:spacing w:val="11"/>
          <w:lang w:val="en-US" w:eastAsia="en-US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spacing w:val="11"/>
          <w:lang w:val="en-US" w:eastAsia="en-US"/>
        </w:rPr>
        <w:t>https://mp.weixin.qq.com/s/UutDmvALwF-qECADQ6Wuiw</w:t>
      </w:r>
      <w:r>
        <w:rPr>
          <w:rFonts w:hint="eastAsia" w:ascii="方正仿宋_GB2312" w:hAnsi="方正仿宋_GB2312" w:eastAsia="方正仿宋_GB2312" w:cs="方正仿宋_GB2312"/>
          <w:spacing w:val="11"/>
          <w:lang w:val="en-US" w:eastAsia="en-US"/>
        </w:rPr>
        <w:fldChar w:fldCharType="end"/>
      </w:r>
      <w:r>
        <w:rPr>
          <w:rFonts w:hint="eastAsia" w:ascii="方正仿宋_GB2312" w:hAnsi="方正仿宋_GB2312" w:eastAsia="方正仿宋_GB2312" w:cs="方正仿宋_GB2312"/>
          <w:spacing w:val="11"/>
          <w:lang w:val="en-US" w:eastAsia="en-US"/>
        </w:rPr>
        <w:t>；</w:t>
      </w:r>
    </w:p>
    <w:p w14:paraId="386280D2">
      <w:pPr>
        <w:keepNext w:val="0"/>
        <w:keepLines w:val="0"/>
        <w:pageBreakBefore w:val="0"/>
        <w:widowControl/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58" w:line="560" w:lineRule="exact"/>
        <w:ind w:left="4"/>
        <w:textAlignment w:val="baseline"/>
        <w:outlineLvl w:val="2"/>
        <w:rPr>
          <w:rFonts w:ascii="黑体" w:hAnsi="黑体" w:eastAsia="黑体" w:cs="黑体"/>
          <w:b/>
          <w:bCs/>
          <w:spacing w:val="9"/>
          <w:sz w:val="31"/>
          <w:szCs w:val="31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三、奖励标准和名额分配</w:t>
      </w:r>
    </w:p>
    <w:p w14:paraId="3F1E72B0">
      <w:pPr>
        <w:keepNext w:val="0"/>
        <w:keepLines w:val="0"/>
        <w:pageBreakBefore w:val="0"/>
        <w:widowControl/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271" w:line="560" w:lineRule="exact"/>
        <w:ind w:left="165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14"/>
          <w:sz w:val="31"/>
          <w:szCs w:val="31"/>
          <w:lang w:eastAsia="zh-CN"/>
        </w:rPr>
        <w:t>（一）</w:t>
      </w:r>
      <w:r>
        <w:rPr>
          <w:rFonts w:ascii="楷体" w:hAnsi="楷体" w:eastAsia="楷体" w:cs="楷体"/>
          <w:spacing w:val="14"/>
          <w:sz w:val="31"/>
          <w:szCs w:val="31"/>
        </w:rPr>
        <w:t>奖励标准</w:t>
      </w:r>
    </w:p>
    <w:p w14:paraId="14ED9E92">
      <w:pPr>
        <w:pStyle w:val="2"/>
        <w:keepNext w:val="0"/>
        <w:keepLines w:val="0"/>
        <w:pageBreakBefore w:val="0"/>
        <w:widowControl/>
        <w:tabs>
          <w:tab w:val="left" w:pos="190"/>
        </w:tabs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92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1"/>
          <w:lang w:val="en-US" w:eastAsia="en-US"/>
        </w:rPr>
      </w:pPr>
      <w:r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  <w:t>每生5</w:t>
      </w:r>
      <w:r>
        <w:rPr>
          <w:rFonts w:hint="eastAsia" w:ascii="方正仿宋_GB2312" w:hAnsi="方正仿宋_GB2312" w:eastAsia="方正仿宋_GB2312" w:cs="方正仿宋_GB2312"/>
          <w:spacing w:val="11"/>
          <w:lang w:val="en-US" w:eastAsia="en-US"/>
        </w:rPr>
        <w:t>万元。</w:t>
      </w:r>
    </w:p>
    <w:p w14:paraId="2B193CCF">
      <w:pPr>
        <w:keepNext w:val="0"/>
        <w:keepLines w:val="0"/>
        <w:pageBreakBefore w:val="0"/>
        <w:widowControl/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238" w:line="560" w:lineRule="exact"/>
        <w:ind w:left="124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16"/>
          <w:sz w:val="31"/>
          <w:szCs w:val="31"/>
          <w:lang w:eastAsia="zh-CN"/>
        </w:rPr>
        <w:t>（二）</w:t>
      </w:r>
      <w:r>
        <w:rPr>
          <w:rFonts w:ascii="楷体" w:hAnsi="楷体" w:eastAsia="楷体" w:cs="楷体"/>
          <w:spacing w:val="16"/>
          <w:sz w:val="31"/>
          <w:szCs w:val="31"/>
        </w:rPr>
        <w:t>名额</w:t>
      </w:r>
    </w:p>
    <w:p w14:paraId="27632218">
      <w:pPr>
        <w:pStyle w:val="2"/>
        <w:keepNext w:val="0"/>
        <w:keepLines w:val="0"/>
        <w:pageBreakBefore w:val="0"/>
        <w:widowControl/>
        <w:tabs>
          <w:tab w:val="left" w:pos="190"/>
        </w:tabs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92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1"/>
          <w:lang w:val="en-US" w:eastAsia="en-US"/>
        </w:rPr>
      </w:pPr>
      <w:r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  <w:t>全校一共6个名额，为6个学院共有名额，学院可推荐2人至校级差额评选。</w:t>
      </w:r>
    </w:p>
    <w:p w14:paraId="515B5380">
      <w:pPr>
        <w:keepNext w:val="0"/>
        <w:keepLines w:val="0"/>
        <w:pageBreakBefore w:val="0"/>
        <w:widowControl/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212" w:line="560" w:lineRule="exact"/>
        <w:ind w:left="129"/>
        <w:textAlignment w:val="baseline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四、评审程序</w:t>
      </w:r>
    </w:p>
    <w:p w14:paraId="7480A01F">
      <w:pPr>
        <w:keepNext w:val="0"/>
        <w:keepLines w:val="0"/>
        <w:pageBreakBefore w:val="0"/>
        <w:widowControl/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281" w:line="560" w:lineRule="exact"/>
        <w:ind w:left="124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14"/>
          <w:sz w:val="31"/>
          <w:szCs w:val="31"/>
          <w:lang w:eastAsia="zh-CN"/>
        </w:rPr>
        <w:t>（一）</w:t>
      </w:r>
      <w:r>
        <w:rPr>
          <w:rFonts w:ascii="楷体" w:hAnsi="楷体" w:eastAsia="楷体" w:cs="楷体"/>
          <w:spacing w:val="14"/>
          <w:sz w:val="31"/>
          <w:szCs w:val="31"/>
        </w:rPr>
        <w:t>发布通知</w:t>
      </w:r>
    </w:p>
    <w:p w14:paraId="41A09138">
      <w:pPr>
        <w:pStyle w:val="2"/>
        <w:keepNext w:val="0"/>
        <w:keepLines w:val="0"/>
        <w:pageBreakBefore w:val="0"/>
        <w:widowControl/>
        <w:tabs>
          <w:tab w:val="left" w:pos="190"/>
        </w:tabs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92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  <w:t>集成电路学院发布评审通知。</w:t>
      </w:r>
    </w:p>
    <w:p w14:paraId="769CA717">
      <w:pPr>
        <w:keepNext w:val="0"/>
        <w:keepLines w:val="0"/>
        <w:pageBreakBefore w:val="0"/>
        <w:widowControl/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228" w:line="560" w:lineRule="exact"/>
        <w:ind w:left="59"/>
        <w:textAlignment w:val="baseline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b/>
          <w:bCs/>
          <w:spacing w:val="10"/>
          <w:sz w:val="31"/>
          <w:szCs w:val="31"/>
          <w:lang w:eastAsia="zh-CN"/>
        </w:rPr>
        <w:t>（二）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个人申请</w:t>
      </w:r>
    </w:p>
    <w:p w14:paraId="23A6E24A">
      <w:pPr>
        <w:pStyle w:val="2"/>
        <w:keepNext w:val="0"/>
        <w:keepLines w:val="0"/>
        <w:pageBreakBefore w:val="0"/>
        <w:widowControl/>
        <w:tabs>
          <w:tab w:val="left" w:pos="190"/>
        </w:tabs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92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  <w:t>满足申请资格且有意愿申请海宸奖学金的二年级硕士研究生，本人应根据本细则，填写并提交《2025年海宸奖学金申请学生信息汇总表》（附件1）、《东南大学集成电路学院学生参与海宸公司实习导师同意书》（附件2，需要导师签字）及个人简历及证明材料。评审可认定的成果应属于东南大学。</w:t>
      </w:r>
    </w:p>
    <w:p w14:paraId="3F7E8F2F">
      <w:pPr>
        <w:keepNext w:val="0"/>
        <w:keepLines w:val="0"/>
        <w:pageBreakBefore w:val="0"/>
        <w:widowControl/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228" w:line="560" w:lineRule="exact"/>
        <w:ind w:left="59"/>
        <w:textAlignment w:val="baseline"/>
        <w:outlineLvl w:val="2"/>
        <w:rPr>
          <w:rFonts w:hint="eastAsia" w:ascii="楷体" w:hAnsi="楷体" w:eastAsia="楷体" w:cs="楷体"/>
          <w:b/>
          <w:bCs/>
          <w:spacing w:val="10"/>
          <w:sz w:val="31"/>
          <w:szCs w:val="31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10"/>
          <w:sz w:val="31"/>
          <w:szCs w:val="31"/>
          <w:lang w:eastAsia="zh-CN"/>
        </w:rPr>
        <w:t>（三）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材料</w:t>
      </w:r>
      <w:r>
        <w:rPr>
          <w:rFonts w:hint="eastAsia" w:ascii="楷体" w:hAnsi="楷体" w:eastAsia="楷体" w:cs="楷体"/>
          <w:b/>
          <w:bCs/>
          <w:spacing w:val="10"/>
          <w:sz w:val="31"/>
          <w:szCs w:val="31"/>
          <w:lang w:val="en-US" w:eastAsia="zh-CN"/>
        </w:rPr>
        <w:t>初审</w:t>
      </w:r>
    </w:p>
    <w:p w14:paraId="142CF5EF">
      <w:pPr>
        <w:pStyle w:val="2"/>
        <w:keepNext w:val="0"/>
        <w:keepLines w:val="0"/>
        <w:pageBreakBefore w:val="0"/>
        <w:widowControl/>
        <w:tabs>
          <w:tab w:val="left" w:pos="190"/>
        </w:tabs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92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  <w:t>评审委员会对申请人的申报材料进行真实性进行审查。</w:t>
      </w:r>
    </w:p>
    <w:p w14:paraId="47527782">
      <w:pPr>
        <w:keepNext w:val="0"/>
        <w:keepLines w:val="0"/>
        <w:pageBreakBefore w:val="0"/>
        <w:widowControl/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228" w:line="560" w:lineRule="exact"/>
        <w:ind w:left="59"/>
        <w:textAlignment w:val="baseline"/>
        <w:outlineLvl w:val="2"/>
        <w:rPr>
          <w:rFonts w:ascii="楷体" w:hAnsi="楷体" w:eastAsia="楷体" w:cs="楷体"/>
          <w:b/>
          <w:bCs/>
          <w:spacing w:val="10"/>
          <w:sz w:val="31"/>
          <w:szCs w:val="31"/>
        </w:rPr>
      </w:pPr>
      <w:r>
        <w:rPr>
          <w:rFonts w:hint="eastAsia" w:ascii="楷体" w:hAnsi="楷体" w:eastAsia="楷体" w:cs="楷体"/>
          <w:b/>
          <w:bCs/>
          <w:spacing w:val="10"/>
          <w:sz w:val="31"/>
          <w:szCs w:val="31"/>
          <w:lang w:eastAsia="zh-CN"/>
        </w:rPr>
        <w:t>（四）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答辩环节</w:t>
      </w:r>
    </w:p>
    <w:p w14:paraId="0177EFA2">
      <w:pPr>
        <w:pStyle w:val="2"/>
        <w:keepNext w:val="0"/>
        <w:keepLines w:val="0"/>
        <w:pageBreakBefore w:val="0"/>
        <w:widowControl/>
        <w:tabs>
          <w:tab w:val="left" w:pos="190"/>
        </w:tabs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92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  <w:t>东南大学集成电路学院将邀请研究生院、学生处、教育基金会、学院教师、学生代表组成的评审小组。评审小组专家根据学生个人思想、学业科研情况、社会服务、对金融投资行业的理解和个人职业规划表现进行答辩评审。</w:t>
      </w:r>
    </w:p>
    <w:p w14:paraId="6B707554">
      <w:pPr>
        <w:keepNext w:val="0"/>
        <w:keepLines w:val="0"/>
        <w:pageBreakBefore w:val="0"/>
        <w:widowControl/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228" w:line="560" w:lineRule="exact"/>
        <w:ind w:left="59"/>
        <w:textAlignment w:val="baseline"/>
        <w:outlineLvl w:val="2"/>
        <w:rPr>
          <w:rFonts w:ascii="楷体" w:hAnsi="楷体" w:eastAsia="楷体" w:cs="楷体"/>
          <w:b/>
          <w:bCs/>
          <w:spacing w:val="10"/>
          <w:sz w:val="31"/>
          <w:szCs w:val="31"/>
        </w:rPr>
      </w:pPr>
      <w:r>
        <w:rPr>
          <w:rFonts w:hint="eastAsia" w:ascii="楷体" w:hAnsi="楷体" w:eastAsia="楷体" w:cs="楷体"/>
          <w:b/>
          <w:bCs/>
          <w:spacing w:val="10"/>
          <w:sz w:val="31"/>
          <w:szCs w:val="31"/>
          <w:lang w:eastAsia="zh-CN"/>
        </w:rPr>
        <w:t>（五）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推荐获奖名单公示</w:t>
      </w:r>
    </w:p>
    <w:p w14:paraId="5CFAEBFB">
      <w:pPr>
        <w:pStyle w:val="2"/>
        <w:keepNext w:val="0"/>
        <w:keepLines w:val="0"/>
        <w:pageBreakBefore w:val="0"/>
        <w:widowControl/>
        <w:tabs>
          <w:tab w:val="left" w:pos="190"/>
        </w:tabs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92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  <w:t>评审委员会根据答辩综合表现确认最终推荐人选并公示。对评审结果有异议的学生，可在公示阶段向评审委员会提出申诉，评审委员会会及时研究并予以答复。</w:t>
      </w:r>
    </w:p>
    <w:p w14:paraId="7648DED5">
      <w:pPr>
        <w:keepNext w:val="0"/>
        <w:keepLines w:val="0"/>
        <w:pageBreakBefore w:val="0"/>
        <w:widowControl/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228" w:line="560" w:lineRule="exact"/>
        <w:ind w:left="59"/>
        <w:textAlignment w:val="baseline"/>
        <w:outlineLvl w:val="2"/>
        <w:rPr>
          <w:rFonts w:ascii="楷体" w:hAnsi="楷体" w:eastAsia="楷体" w:cs="楷体"/>
          <w:b/>
          <w:bCs/>
          <w:spacing w:val="10"/>
          <w:sz w:val="31"/>
          <w:szCs w:val="31"/>
        </w:rPr>
      </w:pPr>
      <w:r>
        <w:rPr>
          <w:rFonts w:hint="eastAsia" w:ascii="楷体" w:hAnsi="楷体" w:eastAsia="楷体" w:cs="楷体"/>
          <w:b/>
          <w:bCs/>
          <w:spacing w:val="10"/>
          <w:sz w:val="31"/>
          <w:szCs w:val="31"/>
          <w:lang w:eastAsia="zh-CN"/>
        </w:rPr>
        <w:t>（六）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材料上报</w:t>
      </w:r>
    </w:p>
    <w:p w14:paraId="265D3A3B">
      <w:pPr>
        <w:pStyle w:val="2"/>
        <w:keepNext w:val="0"/>
        <w:keepLines w:val="0"/>
        <w:pageBreakBefore w:val="0"/>
        <w:widowControl/>
        <w:tabs>
          <w:tab w:val="left" w:pos="190"/>
        </w:tabs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92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  <w:t>公示结束后提交至研究生院进一步进行校级评审，最终结果以学校公布为准。</w:t>
      </w:r>
    </w:p>
    <w:p w14:paraId="2501AC72">
      <w:pPr>
        <w:keepNext w:val="0"/>
        <w:keepLines w:val="0"/>
        <w:pageBreakBefore w:val="0"/>
        <w:widowControl/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222" w:line="560" w:lineRule="exact"/>
        <w:ind w:left="125"/>
        <w:textAlignment w:val="baseline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五、其他</w:t>
      </w:r>
    </w:p>
    <w:p w14:paraId="194C6DA2">
      <w:pPr>
        <w:pStyle w:val="2"/>
        <w:keepNext w:val="0"/>
        <w:keepLines w:val="0"/>
        <w:pageBreakBefore w:val="0"/>
        <w:widowControl/>
        <w:tabs>
          <w:tab w:val="left" w:pos="190"/>
        </w:tabs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92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  <w:t>1.在奖学金评审过程中，若研究生本人有违反学术纪律或弄虚作假行为，取消该生在校期间各项奖学金申报资格，并根据情节轻重给予相应处分。</w:t>
      </w:r>
    </w:p>
    <w:p w14:paraId="256EA687">
      <w:pPr>
        <w:pStyle w:val="2"/>
        <w:keepNext w:val="0"/>
        <w:keepLines w:val="0"/>
        <w:pageBreakBefore w:val="0"/>
        <w:widowControl/>
        <w:tabs>
          <w:tab w:val="left" w:pos="190"/>
        </w:tabs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92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  <w:t>2.获奖成果不可重复申报使用。</w:t>
      </w:r>
    </w:p>
    <w:p w14:paraId="2AF28FF7">
      <w:pPr>
        <w:pStyle w:val="2"/>
        <w:keepNext w:val="0"/>
        <w:keepLines w:val="0"/>
        <w:pageBreakBefore w:val="0"/>
        <w:widowControl/>
        <w:tabs>
          <w:tab w:val="left" w:pos="190"/>
        </w:tabs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92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  <w:t>3.本办法与国家、省及学校文件相冲突时，以上级文件为准。</w:t>
      </w:r>
    </w:p>
    <w:p w14:paraId="440607CD">
      <w:pPr>
        <w:pStyle w:val="2"/>
        <w:keepNext w:val="0"/>
        <w:keepLines w:val="0"/>
        <w:pageBreakBefore w:val="0"/>
        <w:widowControl/>
        <w:tabs>
          <w:tab w:val="left" w:pos="190"/>
        </w:tabs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92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  <w:t>附件</w:t>
      </w:r>
    </w:p>
    <w:p w14:paraId="3C631B1E">
      <w:pPr>
        <w:pStyle w:val="2"/>
        <w:keepNext w:val="0"/>
        <w:keepLines w:val="0"/>
        <w:pageBreakBefore w:val="0"/>
        <w:widowControl/>
        <w:tabs>
          <w:tab w:val="left" w:pos="190"/>
        </w:tabs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92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  <w:t>1. 2025年海宸奖学金申请学生信息汇总表</w:t>
      </w:r>
    </w:p>
    <w:p w14:paraId="62C0A6DD">
      <w:pPr>
        <w:pStyle w:val="2"/>
        <w:keepNext w:val="0"/>
        <w:keepLines w:val="0"/>
        <w:pageBreakBefore w:val="0"/>
        <w:widowControl/>
        <w:tabs>
          <w:tab w:val="left" w:pos="190"/>
        </w:tabs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92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1"/>
          <w:lang w:val="en-US" w:eastAsia="zh-CN"/>
        </w:rPr>
        <w:t>2. 海宸奖学金-东南大学集成电路学院学生参与海宸公司实习导师同意书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4B2CD5-AE33-464B-AC76-00A1833F62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3C1962A-80A5-45A3-A0C9-06405923CCD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048CECE-4A8B-40CB-B61B-E05C648EEDD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E781A9"/>
    <w:multiLevelType w:val="singleLevel"/>
    <w:tmpl w:val="17E781A9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C543D"/>
    <w:rsid w:val="12232B90"/>
    <w:rsid w:val="19FE6154"/>
    <w:rsid w:val="1E1E0F9A"/>
    <w:rsid w:val="24C6692C"/>
    <w:rsid w:val="339E272F"/>
    <w:rsid w:val="43BC5A01"/>
    <w:rsid w:val="67A23AF2"/>
    <w:rsid w:val="7838658F"/>
    <w:rsid w:val="7985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1133</Words>
  <Characters>1207</Characters>
  <Lines>0</Lines>
  <Paragraphs>0</Paragraphs>
  <TotalTime>36</TotalTime>
  <ScaleCrop>false</ScaleCrop>
  <LinksUpToDate>false</LinksUpToDate>
  <CharactersWithSpaces>1209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2025-11-24T12:22:00Z</dcterms:created>
  <dc:creator>lenovo</dc:creator>
  <cp:lastModifiedBy>kukumalu</cp:lastModifiedBy>
  <dcterms:modified xsi:type="dcterms:W3CDTF">2025-11-25T01:36:57Z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eyJoZGlkIjoiMGJlYWQwM2M2NWJmYjMyNDg1MjA5NTFkMTk1M2NlMDkiLCJ1c2VySWQiOiI2ODU4NTAyNjYifQ==</vt:lpwstr>
  </property>
  <property fmtid="{D5CDD505-2E9C-101B-9397-08002B2CF9AE}" pid="4" name="ICV">
    <vt:lpwstr>723166E209A34D6499C2EBDF33CF28DB_13</vt:lpwstr>
  </property>
</Properties>
</file>